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06.xml.htm"/>
      <w:bookmarkStart w:id="1" w:name="ksform406122026_0806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HEALY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BIOAGE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5885 HOLLIS STREET, SUITE 370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BioAge Labs, Inc.</w:t>
              </w:r>
            </w:hyperlink>
            <w:r>
              <w:rPr/>
              <w:t xml:space="preserve"> [ </w:t>
            </w:r>
            <w:r>
              <w:rPr>
                <w:rFonts w:ascii="Times;serif" w:hAnsi="Times;serif"/>
                <w:color w:val="0000FF"/>
                <w:sz w:val="24"/>
                <w:shd w:fill="FFFFFF" w:val="clear"/>
              </w:rPr>
              <w:t>BIOA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15.48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option award shall vest on the earlier of: (i) the date of the next annual meeting of the Issuer's stockholders or (ii) the one year anniversary of the grant date, subject to the reporting person's continued service to the Issuer on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Dov A. Goldstein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5624" TargetMode="External"/><Relationship Id="rId5" Type="http://schemas.openxmlformats.org/officeDocument/2006/relationships/hyperlink" Target="http://www.sec.gov/cgi-bin/browse-edgar?action=getcompany&amp;CIK=00017099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3324</Characters>
  <CharactersWithSpaces>3881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