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ioa_2026_defa14a.htm"/>
      <w:bookmarkStart w:id="1" w:name="ksbioa_2026_defa14a"/>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200" w:after="283"/>
        <w:jc w:val="center"/>
        <w:rPr>
          <w:rFonts w:ascii="Times New Roman" w:hAnsi="Times New Roman"/>
          <w:color w:val="000000"/>
          <w:sz w:val="24"/>
        </w:rPr>
      </w:pPr>
      <w:r>
        <w:rPr>
          <w:rFonts w:ascii="Times New Roman" w:hAnsi="Times New Roman"/>
          <w:color w:val="000000"/>
          <w:sz w:val="24"/>
        </w:rPr>
        <w:t>Proxy Statement Pursuant to Section 14(a) of the Securities</w:t>
      </w:r>
    </w:p>
    <w:p>
      <w:pPr>
        <w:pStyle w:val="TextBody"/>
        <w:bidi w:val="0"/>
        <w:jc w:val="center"/>
        <w:rPr>
          <w:rFonts w:ascii="Times New Roman" w:hAnsi="Times New Roman"/>
          <w:color w:val="000000"/>
          <w:sz w:val="24"/>
        </w:rPr>
      </w:pPr>
      <w:r>
        <w:rPr>
          <w:rFonts w:ascii="Times New Roman" w:hAnsi="Times New Roman"/>
          <w:color w:val="000000"/>
          <w:sz w:val="24"/>
        </w:rPr>
        <w:t>Exchange Act of 1934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jc w:val="left"/>
        <w:rPr/>
      </w:pPr>
      <w:r>
        <w:rPr/>
        <w:t> </w:t>
      </w:r>
    </w:p>
    <w:tbl>
      <w:tblPr>
        <w:tblW w:w="6992" w:type="dxa"/>
        <w:jc w:val="left"/>
        <w:tblInd w:w="0" w:type="dxa"/>
        <w:tblLayout w:type="fixed"/>
        <w:tblCellMar>
          <w:top w:w="28" w:type="dxa"/>
          <w:left w:w="28" w:type="dxa"/>
          <w:bottom w:w="28" w:type="dxa"/>
          <w:right w:w="28" w:type="dxa"/>
        </w:tblCellMar>
      </w:tblPr>
      <w:tblGrid>
        <w:gridCol w:w="331"/>
        <w:gridCol w:w="6661"/>
      </w:tblGrid>
      <w:tr>
        <w:trPr/>
        <w:tc>
          <w:tcPr>
            <w:tcW w:w="331" w:type="dxa"/>
            <w:tcBorders/>
            <w:vAlign w:val="center"/>
          </w:tcPr>
          <w:p>
            <w:pPr>
              <w:pStyle w:val="TableContents"/>
              <w:bidi w:val="0"/>
              <w:spacing w:before="0" w:after="283"/>
              <w:jc w:val="left"/>
              <w:rPr>
                <w:sz w:val="4"/>
                <w:szCs w:val="4"/>
              </w:rPr>
            </w:pPr>
            <w:r>
              <w:rPr>
                <w:sz w:val="4"/>
                <w:szCs w:val="4"/>
              </w:rPr>
            </w:r>
          </w:p>
        </w:tc>
        <w:tc>
          <w:tcPr>
            <w:tcW w:w="666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§240.14a-12</w:t>
            </w:r>
          </w:p>
        </w:tc>
      </w:tr>
    </w:tbl>
    <w:p>
      <w:pPr>
        <w:pStyle w:val="TextBody"/>
        <w:bidi w:val="0"/>
        <w:jc w:val="left"/>
        <w:rPr/>
      </w:pPr>
      <w:r>
        <w:rPr/>
        <w:t> </w:t>
      </w:r>
    </w:p>
    <w:p>
      <w:pPr>
        <w:pStyle w:val="TextBody"/>
        <w:pBdr>
          <w:bottom w:val="single" w:sz="4" w:space="1" w:color="000000"/>
        </w:pBdr>
        <w:bidi w:val="0"/>
        <w:spacing w:before="160" w:after="283"/>
        <w:jc w:val="center"/>
        <w:rPr>
          <w:rFonts w:ascii="Times New Roman" w:hAnsi="Times New Roman"/>
          <w:b/>
          <w:color w:val="000000"/>
          <w:sz w:val="40"/>
        </w:rPr>
      </w:pPr>
      <w:r>
        <w:rPr>
          <w:rFonts w:ascii="Times New Roman" w:hAnsi="Times New Roman"/>
          <w:b/>
          <w:color w:val="000000"/>
          <w:sz w:val="40"/>
        </w:rPr>
        <w:t>BIOAGE LABS, INC.</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pBdr>
          <w:bottom w:val="single" w:sz="4" w:space="1" w:color="000000"/>
        </w:pBdr>
        <w:bidi w:val="0"/>
        <w:jc w:val="center"/>
        <w:rPr>
          <w:rFonts w:ascii="Times New Roman" w:hAnsi="Times New Roman"/>
          <w:color w:val="000000"/>
          <w:sz w:val="20"/>
        </w:rPr>
      </w:pPr>
      <w:r>
        <w:rPr>
          <w:rFonts w:ascii="Times New Roman" w:hAnsi="Times New Roman"/>
          <w:color w:val="000000"/>
          <w:sz w:val="20"/>
        </w:rPr>
        <w:t>N/A</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jc w:val="left"/>
        <w:rPr/>
      </w:pPr>
      <w:r>
        <w:rPr/>
        <w:t> </w:t>
      </w:r>
    </w:p>
    <w:tbl>
      <w:tblPr>
        <w:tblW w:w="8702" w:type="dxa"/>
        <w:jc w:val="left"/>
        <w:tblInd w:w="0" w:type="dxa"/>
        <w:tblLayout w:type="fixed"/>
        <w:tblCellMar>
          <w:top w:w="28" w:type="dxa"/>
          <w:left w:w="28" w:type="dxa"/>
          <w:bottom w:w="28" w:type="dxa"/>
          <w:right w:w="28" w:type="dxa"/>
        </w:tblCellMar>
      </w:tblPr>
      <w:tblGrid>
        <w:gridCol w:w="331"/>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6858000" cy="8867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88677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BIOAGE P.O. BOX 8016, CARY, NC 27512-9903 Your vote matters! BioAge Labs, Inc. Annual Meeting of Stockholders Wednesday, June 10, 2026 12:00 PM, Eastern Time Annual meeting to be held virtually via the Internet - please visit www.proxydocs.com/BIOA for more details. You must register to attend the meeting online and/or participate at www.proxydocs.com/BIOAFor a convenient way to view proxy materials, VOTE, and obtain directions to attend the meeting go to www.proxydocs.com/BIOA To vote your proxy while visiting this site, you will need the 12 digit control number in the box below.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Under United States Securities and Exchange Commission rules, proxy materials do not have to be delivered in paper. Proxy materials can be distributed by making them available on the Internet. If you want to receive a paper or e-mail copy of the proxy material, you must request one. There is no charge to you for requesting a copy. In order to receive a paper package in time for this year's meeting, you must make this request on or before May 29, 2026 SEE REVERSE FOR FULL AGENDA Meeting Materials: Notice of Meeting and Proxy Statement &amp; Annual Report on Form 10-K Important Notice Regarding the Availability of Proxy Materials for the Stockholders Meeting to be Held on June 10, 2026 For Stockholders of Record as of April 16, 2026 To order paper materials, use one of the following methods. Internet: www.investorelections.com/BIOACall: 1-866-648-8133 Email: paper@investorelections.com* If requesting material by e-mail, please send a blank e-mail with the 12 digit control number (located below) in the subject line. No other requests, instructions OR other inquiries should be included with your e-mail requesting material. Your control number Have the 12 digit control number located in the box above available when you access the website and follow the instructions. Copyright © 2026 BetaNXT, Inc. or its affiliates.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6858000" cy="8867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88677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BioAge Labs, Inc. Annual Meeting of Stockholders THE BOARD OF DIRECTORS RECOMMENDS A VOTE: FOR ON PROPOSALS 1 AND 2 PROPOSAL 1. To elect three Class II directors, to serve a three-year term through the third annual meeting of stockholders following this meeting and until a successor has been elected and qualified or until earlier resignation or removal; 1.01 Patrick Enright 1.02 James I. Healy 1.03 Rekha Hemrajani 2. To ratify the appointment of KPMG LLP as our independent registered public accounting firm for the fiscal year ended December 31, 2026. Note: To consider and vote upon such other business as may properly come before the meeting or any adjournment or postponement thereof.</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607</Words>
  <Characters>3186</Characters>
  <CharactersWithSpaces>3769</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