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GOLDSTEIN DOV A MD</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BIOAGE LABS,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5885 HOLLIS STREET, SUITE 370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BioAge Labs,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BIOA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04/23/2026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EMERYVILLE  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94608</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40" w:type="dxa"/>
            <w:vAlign w:val="bottom"/>
            <w:gridSpan w:val="3"/>
          </w:tcPr>
          <w:p>
            <w:pPr>
              <w:ind w:left="860"/>
              <w:spacing w:after="0"/>
              <w:rPr>
                <w:sz w:val="20"/>
                <w:szCs w:val="20"/>
                <w:color w:val="auto"/>
              </w:rPr>
            </w:pPr>
            <w:r>
              <w:rPr>
                <w:rFonts w:ascii="Times New Roman" w:cs="Times New Roman" w:eastAsia="Times New Roman" w:hAnsi="Times New Roman"/>
                <w:sz w:val="17"/>
                <w:szCs w:val="17"/>
                <w:color w:val="0000FF"/>
              </w:rPr>
              <w:t>04/23/2026</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3,542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ind w:left="20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4.38</w:t>
            </w: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36,575</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4.38</w:t>
            </w:r>
          </w:p>
        </w:tc>
        <w:tc>
          <w:tcPr>
            <w:tcW w:w="104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04/23/2026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3,542</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02/17/2035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0000FF"/>
              </w:rPr>
              <w:t>3,542</w:t>
            </w:r>
          </w:p>
        </w:tc>
        <w:tc>
          <w:tcPr>
            <w:tcW w:w="40" w:type="dxa"/>
            <w:vAlign w:val="bottom"/>
          </w:tcPr>
          <w:p>
            <w:pPr>
              <w:spacing w:after="0"/>
              <w:rPr>
                <w:sz w:val="16"/>
                <w:szCs w:val="16"/>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155,833</w:t>
            </w: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3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or vests as to 1/48th of the total award monthly, with the first tranche vested on February 1, 2025, and each subsequent tranche vesting on the monthly anniversary thereof, subject to the reporting person's continued service to the Issuer on each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Dov A. Goldstein</w:t>
            </w:r>
          </w:p>
        </w:tc>
        <w:tc>
          <w:tcPr>
            <w:tcW w:w="64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04/24/2026</w:t>
            </w:r>
          </w:p>
        </w:tc>
      </w:tr>
      <w:tr>
        <w:trPr>
          <w:trHeight w:val="20"/>
        </w:trPr>
        <w:tc>
          <w:tcPr>
            <w:tcW w:w="1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20478" TargetMode="External"/><Relationship Id="rId14" Type="http://schemas.openxmlformats.org/officeDocument/2006/relationships/hyperlink" Target="http://www.sec.gov/cgi-bin/browse-edgar?action=getcompany&amp;CIK=00017099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2026-04-24T15:53:11Z</dcterms:created>
  <dcterms:modified xsi:type="dcterms:W3CDTF">2026-04-24T15:53:11Z</dcterms:modified>
</cp:coreProperties>
</file>